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tbl>
      <w:tblPr>
        <w:tblW w:w="9972" w:type="dxa"/>
        <w:jc w:val="left"/>
        <w:tblInd w:w="0" w:type="dxa"/>
        <w:tblLayout w:type="fixed"/>
        <w:tblCellMar>
          <w:top w:w="28" w:type="dxa"/>
          <w:left w:w="28" w:type="dxa"/>
          <w:bottom w:w="28" w:type="dxa"/>
          <w:right w:w="28" w:type="dxa"/>
        </w:tblCellMar>
      </w:tblPr>
      <w:tblGrid>
        <w:gridCol w:w="9972"/>
      </w:tblGrid>
      <w:tr>
        <w:trPr/>
        <w:tc>
          <w:tcPr>
            <w:tcW w:w="9972" w:type="dxa"/>
            <w:tcBorders/>
            <w:vAlign w:val="center"/>
          </w:tcPr>
          <w:tbl>
            <w:tblPr>
              <w:tblW w:w="9916" w:type="dxa"/>
              <w:jc w:val="left"/>
              <w:tblInd w:w="0" w:type="dxa"/>
              <w:tblLayout w:type="fixed"/>
              <w:tblCellMar>
                <w:top w:w="0" w:type="dxa"/>
                <w:left w:w="0" w:type="dxa"/>
                <w:bottom w:w="0" w:type="dxa"/>
                <w:right w:w="0" w:type="dxa"/>
              </w:tblCellMar>
            </w:tblPr>
            <w:tblGrid>
              <w:gridCol w:w="9916"/>
            </w:tblGrid>
            <w:tr>
              <w:trPr/>
              <w:tc>
                <w:tcPr>
                  <w:tcW w:w="9916" w:type="dxa"/>
                  <w:tcBorders/>
                  <w:vAlign w:val="center"/>
                </w:tcPr>
                <w:tbl>
                  <w:tblPr>
                    <w:tblW w:w="9916" w:type="dxa"/>
                    <w:jc w:val="left"/>
                    <w:tblInd w:w="0" w:type="dxa"/>
                    <w:tblLayout w:type="fixed"/>
                    <w:tblCellMar>
                      <w:top w:w="0" w:type="dxa"/>
                      <w:left w:w="0" w:type="dxa"/>
                      <w:bottom w:w="0" w:type="dxa"/>
                      <w:right w:w="0" w:type="dxa"/>
                    </w:tblCellMar>
                  </w:tblPr>
                  <w:tblGrid>
                    <w:gridCol w:w="9916"/>
                  </w:tblGrid>
                  <w:tr>
                    <w:trPr/>
                    <w:tc>
                      <w:tcPr>
                        <w:tcW w:w="9916" w:type="dxa"/>
                        <w:tcBorders/>
                        <w:vAlign w:val="center"/>
                      </w:tcPr>
                      <w:p>
                        <w:pPr>
                          <w:pStyle w:val="Heading3"/>
                          <w:bidi w:val="0"/>
                          <w:spacing w:lineRule="auto" w:line="360" w:before="0" w:after="0"/>
                          <w:ind w:left="0" w:right="0" w:hanging="0"/>
                          <w:jc w:val="left"/>
                          <w:rPr/>
                        </w:pPr>
                        <w:r>
                          <w:rPr>
                            <w:rFonts w:ascii="sans-serif" w:hAnsi="sans-serif"/>
                            <w:b/>
                            <w:color w:val="C0392B"/>
                            <w:sz w:val="24"/>
                          </w:rPr>
                          <w:t>Take Action</w:t>
                        </w:r>
                        <w:r>
                          <w:rPr>
                            <w:rStyle w:val="StrongEmphasis"/>
                            <w:rFonts w:ascii="sans-serif" w:hAnsi="sans-serif"/>
                            <w:b/>
                            <w:sz w:val="24"/>
                          </w:rPr>
                          <w:t>:</w:t>
                        </w:r>
                        <w:r>
                          <w:rPr>
                            <w:sz w:val="48"/>
                          </w:rPr>
                          <w:t xml:space="preserve">  </w:t>
                        </w:r>
                        <w:r>
                          <w:rPr>
                            <w:rFonts w:ascii="Calibri;sans-serif" w:hAnsi="Calibri;sans-serif"/>
                            <w:sz w:val="24"/>
                          </w:rPr>
                          <w:t>Request a meeting with your local State Senator and Assembly Member or their staff sharing your concerns or support (</w:t>
                        </w:r>
                        <w:hyperlink r:id="rId2" w:tgtFrame="_blank">
                          <w:r>
                            <w:rPr>
                              <w:rStyle w:val="InternetLink"/>
                              <w:rFonts w:ascii="Calibri;sans-serif" w:hAnsi="Calibri;sans-serif"/>
                              <w:strike w:val="false"/>
                              <w:dstrike w:val="false"/>
                              <w:color w:val="0000FF"/>
                              <w:sz w:val="24"/>
                              <w:u w:val="none"/>
                              <w:effect w:val="none"/>
                            </w:rPr>
                            <w:t>https://findyourrep.legislature.ca.gov/</w:t>
                          </w:r>
                        </w:hyperlink>
                        <w:r>
                          <w:rPr>
                            <w:rFonts w:ascii="Calibri;sans-serif" w:hAnsi="Calibri;sans-serif"/>
                            <w:sz w:val="24"/>
                          </w:rPr>
                          <w:t>).  Our Legislators are in Sacramento Monday through Thursday. On Friday’s they are in their district office.  If they are not available to meet in the next week or two ask to speak to their Legislative Director.  Staffers play a key role in our relationships with our Legislators.  Talk to friends and family to do the same.</w:t>
                        </w:r>
                      </w:p>
                      <w:p>
                        <w:pPr>
                          <w:pStyle w:val="Heading3"/>
                          <w:bidi w:val="0"/>
                          <w:spacing w:lineRule="atLeast" w:line="330" w:before="0" w:after="160"/>
                          <w:ind w:left="0" w:right="0" w:hanging="0"/>
                          <w:jc w:val="left"/>
                          <w:rPr/>
                        </w:pPr>
                        <w:r>
                          <w:rPr/>
                        </w:r>
                      </w:p>
                      <w:p>
                        <w:pPr>
                          <w:pStyle w:val="Heading3"/>
                          <w:bidi w:val="0"/>
                          <w:spacing w:lineRule="auto" w:line="360" w:before="0" w:after="160"/>
                          <w:ind w:left="0" w:right="0" w:hanging="0"/>
                          <w:jc w:val="left"/>
                          <w:rPr/>
                        </w:pPr>
                        <w:r>
                          <w:rPr>
                            <w:rStyle w:val="StrongEmphasis"/>
                            <w:rFonts w:ascii="sans-serif" w:hAnsi="sans-serif"/>
                            <w:b/>
                            <w:color w:val="CF3932"/>
                            <w:sz w:val="24"/>
                          </w:rPr>
                          <w:t>AB-659</w:t>
                        </w:r>
                        <w:r>
                          <w:rPr>
                            <w:rStyle w:val="StrongEmphasis"/>
                            <w:rFonts w:ascii="Calibri;sans-serif" w:hAnsi="Calibri;sans-serif"/>
                            <w:b/>
                            <w:sz w:val="24"/>
                          </w:rPr>
                          <w:t> </w:t>
                        </w:r>
                        <w:r>
                          <w:rPr>
                            <w:rStyle w:val="StrongEmphasis"/>
                            <w:rFonts w:ascii="sans-serif" w:hAnsi="sans-serif"/>
                            <w:b/>
                            <w:sz w:val="24"/>
                          </w:rPr>
                          <w:t>Cancer Prevention Act (Aguiar-Curry): </w:t>
                        </w:r>
                        <w:r>
                          <w:rPr>
                            <w:rFonts w:ascii="Calibri;sans-serif" w:hAnsi="Calibri;sans-serif"/>
                            <w:sz w:val="24"/>
                          </w:rPr>
                          <w:t>declare the public policy of the state that students who are 8th grade to 26 years of age are expected to be fully vaccinated against HPV before enrolling in 8th grade or a public California higher education institution (</w:t>
                        </w:r>
                        <w:hyperlink r:id="rId3" w:tgtFrame="_blank">
                          <w:r>
                            <w:rPr>
                              <w:rStyle w:val="InternetLink"/>
                              <w:rFonts w:ascii="Calibri;sans-serif" w:hAnsi="Calibri;sans-serif"/>
                              <w:color w:val="0563C1"/>
                              <w:sz w:val="24"/>
                              <w:u w:val="single"/>
                            </w:rPr>
                            <w:t>https://leginfo.legislature.ca.gov/faces/billTextClient.xhtml?bill_id=202320240AB659</w:t>
                          </w:r>
                        </w:hyperlink>
                        <w:r>
                          <w:rPr>
                            <w:rFonts w:ascii="Calibri;sans-serif" w:hAnsi="Calibri;sans-serif"/>
                            <w:sz w:val="24"/>
                          </w:rPr>
                          <w:t>)</w:t>
                        </w:r>
                        <w:r>
                          <w:rPr>
                            <w:rFonts w:ascii="Calibri;sans-serif" w:hAnsi="Calibri;sans-serif"/>
                            <w:sz w:val="22"/>
                          </w:rPr>
                          <w:br/>
                        </w:r>
                        <w:r>
                          <w:rPr>
                            <w:sz w:val="21"/>
                          </w:rPr>
                          <w:br/>
                        </w:r>
                        <w:r>
                          <w:rPr>
                            <w:rStyle w:val="StrongEmphasis"/>
                            <w:rFonts w:ascii="sans-serif" w:hAnsi="sans-serif"/>
                            <w:b/>
                            <w:color w:val="000000"/>
                            <w:sz w:val="24"/>
                          </w:rPr>
                          <w:t>Status: </w:t>
                        </w:r>
                        <w:r>
                          <w:rPr>
                            <w:rFonts w:ascii="sans-serif" w:hAnsi="sans-serif"/>
                            <w:sz w:val="24"/>
                          </w:rPr>
                          <w:t>Passed Senate Education and Health Committees.  </w:t>
                        </w:r>
                        <w:r>
                          <w:rPr>
                            <w:rFonts w:ascii="Calibri;sans-serif" w:hAnsi="Calibri;sans-serif"/>
                            <w:sz w:val="24"/>
                          </w:rPr>
                          <w:t>Referred to Senate Appropriations Committee</w:t>
                        </w:r>
                        <w:r>
                          <w:rPr>
                            <w:rFonts w:ascii="sans-serif" w:hAnsi="sans-serif"/>
                            <w:sz w:val="24"/>
                          </w:rPr>
                          <w:t>.</w:t>
                        </w:r>
                      </w:p>
                      <w:p>
                        <w:pPr>
                          <w:pStyle w:val="Heading3"/>
                          <w:bidi w:val="0"/>
                          <w:spacing w:lineRule="atLeast" w:line="255" w:before="0" w:after="160"/>
                          <w:ind w:left="0" w:right="0" w:hanging="0"/>
                          <w:jc w:val="left"/>
                          <w:rPr/>
                        </w:pPr>
                        <w:r>
                          <w:rPr>
                            <w:rStyle w:val="StrongEmphasis"/>
                            <w:rFonts w:ascii="sans-serif" w:hAnsi="sans-serif"/>
                            <w:b/>
                            <w:color w:val="CF3932"/>
                            <w:sz w:val="24"/>
                          </w:rPr>
                          <w:t>AB 665</w:t>
                        </w:r>
                        <w:r>
                          <w:rPr>
                            <w:rStyle w:val="StrongEmphasis"/>
                            <w:rFonts w:ascii="Calibri;sans-serif" w:hAnsi="Calibri;sans-serif"/>
                            <w:b/>
                            <w:sz w:val="24"/>
                          </w:rPr>
                          <w:t> </w:t>
                        </w:r>
                        <w:r>
                          <w:rPr>
                            <w:rStyle w:val="StrongEmphasis"/>
                            <w:rFonts w:ascii="sans-serif" w:hAnsi="sans-serif"/>
                            <w:b/>
                            <w:sz w:val="24"/>
                          </w:rPr>
                          <w:t>consent to mental health services (Carrillo)</w:t>
                        </w:r>
                        <w:r>
                          <w:rPr>
                            <w:rFonts w:ascii="Calibri;sans-serif" w:hAnsi="Calibri;sans-serif"/>
                            <w:sz w:val="24"/>
                          </w:rPr>
                          <w:t>:  This bill relates to current statute which allows 12+ year old minors to attain mental health services without their parent’s consent.  This law currently appears in both the Health &amp; Safety Code and the Family Code, but differs somewhat and so AB 665 aims to make the two code sections consistent.  However, there are areas where the bill has removed criteria which the minors must meet in order to get treatment, making treatment options for which they can consent much broader, especially with regard to Residential Shelter Services.  (</w:t>
                        </w:r>
                        <w:hyperlink r:id="rId4" w:tgtFrame="_blank">
                          <w:r>
                            <w:rPr>
                              <w:rStyle w:val="InternetLink"/>
                              <w:rFonts w:ascii="Calibri;sans-serif" w:hAnsi="Calibri;sans-serif"/>
                              <w:color w:val="0563C1"/>
                              <w:sz w:val="24"/>
                              <w:u w:val="single"/>
                            </w:rPr>
                            <w:t>https://leginfo.legislature.ca.gov/faces/billNavClient.xhtml?bill_id=202320240AB665</w:t>
                          </w:r>
                        </w:hyperlink>
                        <w:r>
                          <w:rPr>
                            <w:rFonts w:ascii="Calibri;sans-serif" w:hAnsi="Calibri;sans-serif"/>
                            <w:sz w:val="24"/>
                          </w:rPr>
                          <w:t>)  </w:t>
                        </w:r>
                        <w:r>
                          <w:rPr>
                            <w:sz w:val="21"/>
                          </w:rPr>
                          <w:br/>
                          <w:br/>
                        </w:r>
                        <w:r>
                          <w:rPr>
                            <w:rStyle w:val="StrongEmphasis"/>
                            <w:rFonts w:ascii="sans-serif" w:hAnsi="sans-serif"/>
                            <w:b/>
                            <w:sz w:val="24"/>
                          </w:rPr>
                          <w:t>Status: </w:t>
                        </w:r>
                        <w:r>
                          <w:rPr>
                            <w:rFonts w:ascii="Calibri;sans-serif" w:hAnsi="Calibri;sans-serif"/>
                            <w:sz w:val="24"/>
                          </w:rPr>
                          <w:t>Referred to Senate Appropriations Committee.</w:t>
                        </w:r>
                      </w:p>
                    </w:tc>
                  </w:tr>
                </w:tbl>
                <w:p>
                  <w:pPr>
                    <w:pStyle w:val="TableContents"/>
                    <w:bidi w:val="0"/>
                    <w:jc w:val="left"/>
                    <w:rPr>
                      <w:sz w:val="4"/>
                      <w:szCs w:val="4"/>
                    </w:rPr>
                  </w:pPr>
                  <w:r>
                    <w:rPr>
                      <w:sz w:val="4"/>
                      <w:szCs w:val="4"/>
                    </w:rPr>
                  </w:r>
                </w:p>
              </w:tc>
            </w:tr>
          </w:tbl>
          <w:p>
            <w:pPr>
              <w:pStyle w:val="TableContents"/>
              <w:bidi w:val="0"/>
              <w:jc w:val="left"/>
              <w:rPr>
                <w:sz w:val="4"/>
                <w:szCs w:val="4"/>
              </w:rPr>
            </w:pPr>
            <w:r>
              <w:rPr>
                <w:sz w:val="4"/>
                <w:szCs w:val="4"/>
              </w:rPr>
            </w:r>
          </w:p>
        </w:tc>
      </w:tr>
    </w:tbl>
    <w:p>
      <w:pPr>
        <w:pStyle w:val="TextBody"/>
        <w:bidi w:val="0"/>
        <w:spacing w:lineRule="auto" w:line="276" w:before="0" w:after="140"/>
        <w:jc w:val="left"/>
        <w:rPr/>
      </w:pPr>
      <w:r>
        <w:rPr/>
        <w:b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sans-serif">
    <w:altName w:val="Arial"/>
    <w:charset w:val="00"/>
    <w:family w:val="auto"/>
    <w:pitch w:val="default"/>
  </w:font>
  <w:font w:name="Calibri">
    <w:altName w:val="sans-serif"/>
    <w:charset w:val="00"/>
    <w:family w:val="auto"/>
    <w:pitch w:val="default"/>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numPr>
        <w:ilvl w:val="0"/>
        <w:numId w:val="0"/>
      </w:numPr>
      <w:spacing w:before="140" w:after="120"/>
      <w:outlineLvl w:val="2"/>
    </w:pPr>
    <w:rPr>
      <w:rFonts w:ascii="Liberation Serif" w:hAnsi="Liberation Serif" w:eastAsia="NSimSun" w:cs="Arial"/>
      <w:b/>
      <w:bCs/>
      <w:sz w:val="28"/>
      <w:szCs w:val="28"/>
    </w:rPr>
  </w:style>
  <w:style w:type="character" w:styleId="StrongEmphasis">
    <w:name w:val="Strong Emphasis"/>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lick.everyaction.com/k/68066188/421816866/1500783926?nvep=ew0KICAiVGVuYW50VXJpIjogIm5ncHZhbjovL3Zhbi9FQS9FQTAwNS8xLzgxNDQ1IiwNCiAgIkRpc3RyaWJ1dGlvblVuaXF1ZUlkIjogIjBkZGQ0ZDhlLWIxM2EtZWUxMS1hM2YxLTAwMjI0ODMyZWI3MyIsDQogICJFbWFpbEFkZHJlc3MiOiAiYmV2ZXJseXhvN0B5YWhvby5jb20iDQp9&amp;hmac=87OPppfaFXUywOir2QRQNrVB5plMVk7osu4GJlPvino=&amp;emci=561542aa-aa3a-ee11-a3f1-00224832eb73&amp;emdi=0ddd4d8e-b13a-ee11-a3f1-00224832eb73&amp;ceid=11863249" TargetMode="External"/><Relationship Id="rId3" Type="http://schemas.openxmlformats.org/officeDocument/2006/relationships/hyperlink" Target="https://click.everyaction.com/k/68066189/421816868/-1972015490?bill_id=202320240AB659&amp;nvep=ew0KICAiVGVuYW50VXJpIjogIm5ncHZhbjovL3Zhbi9FQS9FQTAwNS8xLzgxNDQ1IiwNCiAgIkRpc3RyaWJ1dGlvblVuaXF1ZUlkIjogIjBkZGQ0ZDhlLWIxM2EtZWUxMS1hM2YxLTAwMjI0ODMyZWI3MyIsDQogICJFbWFpbEFkZHJlc3MiOiAiYmV2ZXJseXhvN0B5YWhvby5jb20iDQp9&amp;hmac=87OPppfaFXUywOir2QRQNrVB5plMVk7osu4GJlPvino=&amp;emci=561542aa-aa3a-ee11-a3f1-00224832eb73&amp;emdi=0ddd4d8e-b13a-ee11-a3f1-00224832eb73&amp;ceid=11863249" TargetMode="External"/><Relationship Id="rId4" Type="http://schemas.openxmlformats.org/officeDocument/2006/relationships/hyperlink" Target="https://click.everyaction.com/k/68066190/421816869/1503990588?bill_id=202320240AB665&amp;nvep=ew0KICAiVGVuYW50VXJpIjogIm5ncHZhbjovL3Zhbi9FQS9FQTAwNS8xLzgxNDQ1IiwNCiAgIkRpc3RyaWJ1dGlvblVuaXF1ZUlkIjogIjBkZGQ0ZDhlLWIxM2EtZWUxMS1hM2YxLTAwMjI0ODMyZWI3MyIsDQogICJFbWFpbEFkZHJlc3MiOiAiYmV2ZXJseXhvN0B5YWhvby5jb20iDQp9&amp;hmac=87OPppfaFXUywOir2QRQNrVB5plMVk7osu4GJlPvino=&amp;emci=561542aa-aa3a-ee11-a3f1-00224832eb73&amp;emdi=0ddd4d8e-b13a-ee11-a3f1-00224832eb73&amp;ceid=11863249"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LibreOffice/7.0.5.2$Windows_X86_64 LibreOffice_project/64390860c6cd0aca4beafafcfd84613dd9dfb63a</Application>
  <AppVersion>15.0000</AppVersion>
  <Pages>1</Pages>
  <Words>237</Words>
  <Characters>1433</Characters>
  <CharactersWithSpaces>1682</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2023-08-20T14:10:52Z</dcterms:created>
  <dc:creator/>
  <dc:description/>
  <dc:language>en-US</dc:language>
  <cp:lastModifiedBy/>
  <dcterms:modified xsi:type="dcterms:W3CDTF">2023-08-20T14:18:50Z</dcterms:modified>
  <cp:revision>1</cp:revision>
  <dc:subject/>
  <dc:title/>
</cp:coreProperties>
</file>